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C1" w:rsidRDefault="00595E2B">
      <w:pPr>
        <w:pStyle w:val="BodyText"/>
        <w:ind w:left="204"/>
        <w:rPr>
          <w:sz w:val="20"/>
        </w:rPr>
      </w:pPr>
      <w:r>
        <w:rPr>
          <w:noProof/>
          <w:sz w:val="20"/>
          <w:lang w:val="en-US" w:bidi="ar-SA"/>
        </w:rPr>
        <w:drawing>
          <wp:inline distT="0" distB="0" distL="0" distR="0">
            <wp:extent cx="1279914" cy="7536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14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7C1" w:rsidRDefault="005567C1">
      <w:pPr>
        <w:pStyle w:val="BodyText"/>
        <w:rPr>
          <w:sz w:val="20"/>
        </w:rPr>
      </w:pPr>
    </w:p>
    <w:p w:rsidR="005567C1" w:rsidRDefault="00595E2B">
      <w:pPr>
        <w:pStyle w:val="Heading1"/>
        <w:spacing w:before="222"/>
      </w:pPr>
      <w:r>
        <w:t>Política de asistencia financiera - Apéndice A</w:t>
      </w:r>
    </w:p>
    <w:p w:rsidR="005567C1" w:rsidRDefault="005567C1">
      <w:pPr>
        <w:pStyle w:val="BodyText"/>
        <w:spacing w:before="1"/>
        <w:rPr>
          <w:rFonts w:ascii="Arial"/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2456"/>
        <w:gridCol w:w="2587"/>
        <w:gridCol w:w="2423"/>
      </w:tblGrid>
      <w:tr w:rsidR="005567C1">
        <w:trPr>
          <w:trHeight w:val="920"/>
        </w:trPr>
        <w:tc>
          <w:tcPr>
            <w:tcW w:w="1888" w:type="dxa"/>
          </w:tcPr>
          <w:p w:rsidR="005567C1" w:rsidRDefault="00595E2B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Aprobada por:</w:t>
            </w:r>
          </w:p>
        </w:tc>
        <w:tc>
          <w:tcPr>
            <w:tcW w:w="2456" w:type="dxa"/>
          </w:tcPr>
          <w:p w:rsidR="005567C1" w:rsidRDefault="00595E2B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Fecha de la última aprobación:</w:t>
            </w:r>
          </w:p>
        </w:tc>
        <w:tc>
          <w:tcPr>
            <w:tcW w:w="2587" w:type="dxa"/>
          </w:tcPr>
          <w:p w:rsidR="005567C1" w:rsidRDefault="00595E2B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Fecha de emisión:</w:t>
            </w:r>
          </w:p>
        </w:tc>
        <w:tc>
          <w:tcPr>
            <w:tcW w:w="2423" w:type="dxa"/>
          </w:tcPr>
          <w:p w:rsidR="005567C1" w:rsidRDefault="00595E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</w:p>
          <w:p w:rsidR="005567C1" w:rsidRDefault="005567C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5567C1" w:rsidRDefault="00611E38">
            <w:pPr>
              <w:pStyle w:val="TableParagraph"/>
              <w:spacing w:before="159" w:line="240" w:lineRule="auto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595E2B">
              <w:rPr>
                <w:sz w:val="20"/>
              </w:rPr>
              <w:t>-1</w:t>
            </w:r>
          </w:p>
        </w:tc>
      </w:tr>
    </w:tbl>
    <w:p w:rsidR="005567C1" w:rsidRDefault="005567C1">
      <w:pPr>
        <w:pStyle w:val="BodyText"/>
        <w:spacing w:before="9"/>
        <w:rPr>
          <w:rFonts w:ascii="Arial"/>
          <w:b/>
          <w:sz w:val="23"/>
        </w:rPr>
      </w:pPr>
    </w:p>
    <w:p w:rsidR="005567C1" w:rsidRPr="00595E2B" w:rsidRDefault="00595E2B">
      <w:pPr>
        <w:spacing w:before="1"/>
        <w:ind w:left="100"/>
        <w:rPr>
          <w:rFonts w:ascii="Arial" w:hAnsi="Arial" w:cs="Arial"/>
          <w:b/>
          <w:sz w:val="20"/>
        </w:rPr>
      </w:pPr>
      <w:r w:rsidRPr="00595E2B">
        <w:rPr>
          <w:rFonts w:ascii="Arial" w:hAnsi="Arial" w:cs="Arial"/>
          <w:b/>
          <w:color w:val="FF0000"/>
          <w:sz w:val="20"/>
        </w:rPr>
        <w:t>Las copias impresas son solo una referencia. Consulte la última versión en la copia electrónica.</w:t>
      </w:r>
    </w:p>
    <w:p w:rsidR="005567C1" w:rsidRDefault="005567C1">
      <w:pPr>
        <w:pStyle w:val="BodyText"/>
        <w:rPr>
          <w:rFonts w:ascii="Arial"/>
          <w:b/>
          <w:sz w:val="22"/>
        </w:rPr>
      </w:pPr>
    </w:p>
    <w:p w:rsidR="005567C1" w:rsidRDefault="005567C1">
      <w:pPr>
        <w:pStyle w:val="BodyText"/>
        <w:spacing w:before="11"/>
        <w:rPr>
          <w:rFonts w:ascii="Arial"/>
          <w:b/>
          <w:sz w:val="25"/>
        </w:rPr>
      </w:pPr>
    </w:p>
    <w:p w:rsidR="005567C1" w:rsidRDefault="00595E2B">
      <w:pPr>
        <w:pStyle w:val="Heading1"/>
        <w:ind w:left="2108" w:right="2125"/>
        <w:jc w:val="center"/>
      </w:pPr>
      <w:r>
        <w:t>Política de asistencia financiera - Apéndice A</w:t>
      </w:r>
    </w:p>
    <w:p w:rsidR="005567C1" w:rsidRDefault="00595E2B">
      <w:pPr>
        <w:spacing w:before="231"/>
        <w:ind w:left="100"/>
        <w:rPr>
          <w:b/>
          <w:sz w:val="24"/>
        </w:rPr>
      </w:pPr>
      <w:r>
        <w:rPr>
          <w:b/>
          <w:sz w:val="24"/>
        </w:rPr>
        <w:t>Bases para el cálculo de los montos cobrados a los pacientes</w:t>
      </w:r>
    </w:p>
    <w:p w:rsidR="005567C1" w:rsidRDefault="00595E2B">
      <w:pPr>
        <w:pStyle w:val="BodyText"/>
        <w:spacing w:before="228"/>
        <w:ind w:left="100" w:right="256"/>
      </w:pPr>
      <w:r>
        <w:t xml:space="preserve">California </w:t>
      </w:r>
      <w:proofErr w:type="spellStart"/>
      <w:r>
        <w:t>Rehabilitation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utiliza el método “retrospectivo’ para determinar los “montos que se facturan generalmente” (</w:t>
      </w:r>
      <w:proofErr w:type="spellStart"/>
      <w:r>
        <w:t>AGB</w:t>
      </w:r>
      <w:proofErr w:type="spellEnd"/>
      <w:r>
        <w:t xml:space="preserve">) a individuos que tienen cobertura de seguro distinta de la Atención médicamente necesaria. El porcentaje de </w:t>
      </w:r>
      <w:proofErr w:type="spellStart"/>
      <w:r>
        <w:t>AGB</w:t>
      </w:r>
      <w:proofErr w:type="spellEnd"/>
      <w:r w:rsidR="00611E38">
        <w:t xml:space="preserve"> aplicable a partir del 1/1/2021</w:t>
      </w:r>
      <w:r>
        <w:t xml:space="preserve"> en nuestro centro es del 30 %.</w:t>
      </w:r>
    </w:p>
    <w:p w:rsidR="005567C1" w:rsidRDefault="005567C1">
      <w:pPr>
        <w:pStyle w:val="BodyText"/>
      </w:pPr>
    </w:p>
    <w:p w:rsidR="005567C1" w:rsidRDefault="00595E2B">
      <w:pPr>
        <w:pStyle w:val="BodyText"/>
        <w:ind w:left="100" w:right="160"/>
        <w:jc w:val="both"/>
      </w:pPr>
      <w:r>
        <w:t>La cantidad se determinó usando todas las reclamaciones permitidas por Medicare (Tradicional) con fechas de alta desd</w:t>
      </w:r>
      <w:r w:rsidR="00611E38">
        <w:t>e el 1.º de enero del 2020</w:t>
      </w:r>
      <w:r>
        <w:t xml:space="preserve"> h</w:t>
      </w:r>
      <w:r w:rsidR="00611E38">
        <w:t>asta el 31 de diciembre del 2020</w:t>
      </w:r>
      <w:bookmarkStart w:id="0" w:name="_GoBack"/>
      <w:bookmarkEnd w:id="0"/>
      <w:r>
        <w:t>. El pago total esperado de las reclamaciones permitidas se dividió entre el total de los cargos facturados esperados por dichas reclamaciones.</w:t>
      </w: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>
      <w:pPr>
        <w:pStyle w:val="BodyText"/>
        <w:rPr>
          <w:sz w:val="20"/>
        </w:rPr>
      </w:pPr>
    </w:p>
    <w:p w:rsidR="005567C1" w:rsidRDefault="005567C1" w:rsidP="00611E38">
      <w:pPr>
        <w:spacing w:before="92"/>
        <w:ind w:right="18"/>
        <w:rPr>
          <w:sz w:val="20"/>
        </w:rPr>
      </w:pPr>
    </w:p>
    <w:sectPr w:rsidR="005567C1">
      <w:type w:val="continuous"/>
      <w:pgSz w:w="12240" w:h="15840"/>
      <w:pgMar w:top="12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C1"/>
    <w:rsid w:val="005567C1"/>
    <w:rsid w:val="00595E2B"/>
    <w:rsid w:val="0061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D6EB"/>
  <w15:docId w15:val="{168FC735-3C8A-48B1-A557-204738F3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1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California Rehabilitation Institute Financial Assistance Policy Appendix A 2020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California Rehabilitation Institute Financial Assistance Policy Appendix A 2020</dc:title>
  <dc:creator>aconfer</dc:creator>
  <cp:lastModifiedBy>Confer, Ashley N.</cp:lastModifiedBy>
  <cp:revision>2</cp:revision>
  <dcterms:created xsi:type="dcterms:W3CDTF">2021-01-06T14:17:00Z</dcterms:created>
  <dcterms:modified xsi:type="dcterms:W3CDTF">2021-01-06T14:17:00Z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2020-02-03T00:00:00Z</vt:filetime>
  </property>
</Properties>
</file>